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843"/>
      </w:tblGrid>
      <w:tr w:rsidR="004E121B" w:rsidRPr="004D588F" w:rsidTr="00084304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:rsidR="004E121B" w:rsidRDefault="004E121B" w:rsidP="001C156F">
            <w:pPr>
              <w:rPr>
                <w:b/>
                <w:sz w:val="20"/>
                <w:szCs w:val="20"/>
              </w:rPr>
            </w:pPr>
            <w:r w:rsidRPr="004D588F">
              <w:rPr>
                <w:b/>
                <w:sz w:val="20"/>
                <w:szCs w:val="20"/>
              </w:rPr>
              <w:t>Continuing Statutory Service</w:t>
            </w:r>
            <w:r w:rsidR="00711875" w:rsidRPr="004D588F">
              <w:rPr>
                <w:b/>
                <w:sz w:val="20"/>
                <w:szCs w:val="20"/>
              </w:rPr>
              <w:t xml:space="preserve">  (subject to approved budget reductions</w:t>
            </w:r>
            <w:r w:rsidR="00A33171" w:rsidRPr="004D588F">
              <w:rPr>
                <w:b/>
                <w:sz w:val="20"/>
                <w:szCs w:val="20"/>
              </w:rPr>
              <w:t xml:space="preserve"> from 2014 &amp; 2015 budgets</w:t>
            </w:r>
            <w:r w:rsidR="00711875" w:rsidRPr="004D588F">
              <w:rPr>
                <w:b/>
                <w:sz w:val="20"/>
                <w:szCs w:val="20"/>
              </w:rPr>
              <w:t>)</w:t>
            </w:r>
            <w:r w:rsidR="00B819B1">
              <w:rPr>
                <w:b/>
                <w:sz w:val="20"/>
                <w:szCs w:val="20"/>
              </w:rPr>
              <w:t xml:space="preserve"> – TEMPLATE 1</w:t>
            </w:r>
          </w:p>
          <w:p w:rsidR="00CA2B52" w:rsidRPr="004D588F" w:rsidRDefault="00B71B6E" w:rsidP="0033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002</w:t>
            </w:r>
          </w:p>
        </w:tc>
      </w:tr>
      <w:tr w:rsidR="004E121B" w:rsidRPr="004D588F" w:rsidTr="00084304">
        <w:tc>
          <w:tcPr>
            <w:tcW w:w="3256" w:type="dxa"/>
            <w:tcBorders>
              <w:bottom w:val="single" w:sz="4" w:space="0" w:color="auto"/>
            </w:tcBorders>
          </w:tcPr>
          <w:p w:rsidR="004E121B" w:rsidRDefault="004E121B" w:rsidP="001C156F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>Service name</w:t>
            </w:r>
          </w:p>
          <w:p w:rsidR="00531B66" w:rsidRPr="004E37EA" w:rsidRDefault="008D1171" w:rsidP="005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ESTATES PORTFOLIO MANAGEMENT </w:t>
            </w:r>
            <w:r w:rsidR="00CC1895">
              <w:rPr>
                <w:sz w:val="20"/>
                <w:szCs w:val="20"/>
              </w:rPr>
              <w:t>(</w:t>
            </w:r>
            <w:r w:rsidR="00395862">
              <w:rPr>
                <w:sz w:val="20"/>
                <w:szCs w:val="20"/>
              </w:rPr>
              <w:t xml:space="preserve">BBR </w:t>
            </w:r>
            <w:r w:rsidR="00911B5E">
              <w:rPr>
                <w:sz w:val="20"/>
                <w:szCs w:val="20"/>
              </w:rPr>
              <w:t>049</w:t>
            </w:r>
            <w:r w:rsidR="00CC1895">
              <w:rPr>
                <w:sz w:val="20"/>
                <w:szCs w:val="20"/>
              </w:rPr>
              <w:t>)</w:t>
            </w:r>
          </w:p>
          <w:p w:rsidR="00531B66" w:rsidRPr="004D588F" w:rsidRDefault="00531B66" w:rsidP="001C156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8D1171" w:rsidRDefault="00CC1895" w:rsidP="004E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description – the previously approved budget reduction in relation to the management of the council's property portfolio</w:t>
            </w:r>
          </w:p>
          <w:p w:rsidR="004E121B" w:rsidRPr="004D588F" w:rsidRDefault="004E121B" w:rsidP="00F56420">
            <w:pPr>
              <w:rPr>
                <w:sz w:val="20"/>
                <w:szCs w:val="20"/>
              </w:rPr>
            </w:pPr>
          </w:p>
        </w:tc>
      </w:tr>
      <w:tr w:rsidR="004E121B" w:rsidRPr="004D588F" w:rsidTr="00084304">
        <w:tc>
          <w:tcPr>
            <w:tcW w:w="3256" w:type="dxa"/>
            <w:tcBorders>
              <w:bottom w:val="nil"/>
            </w:tcBorders>
          </w:tcPr>
          <w:p w:rsidR="004E121B" w:rsidRPr="004D588F" w:rsidRDefault="004E121B" w:rsidP="001C15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E121B" w:rsidRPr="001774BD" w:rsidRDefault="004E121B" w:rsidP="00692710">
            <w:pPr>
              <w:jc w:val="center"/>
              <w:rPr>
                <w:b/>
                <w:sz w:val="20"/>
                <w:szCs w:val="20"/>
              </w:rPr>
            </w:pPr>
            <w:r w:rsidRPr="001774BD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4" w:type="dxa"/>
            <w:tcBorders>
              <w:bottom w:val="nil"/>
            </w:tcBorders>
          </w:tcPr>
          <w:p w:rsidR="004E121B" w:rsidRPr="001774BD" w:rsidRDefault="004E121B" w:rsidP="00692710">
            <w:pPr>
              <w:jc w:val="center"/>
              <w:rPr>
                <w:b/>
                <w:sz w:val="20"/>
                <w:szCs w:val="20"/>
              </w:rPr>
            </w:pPr>
            <w:r w:rsidRPr="001774BD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843" w:type="dxa"/>
            <w:tcBorders>
              <w:bottom w:val="nil"/>
            </w:tcBorders>
          </w:tcPr>
          <w:p w:rsidR="004E121B" w:rsidRPr="001774BD" w:rsidRDefault="004E121B" w:rsidP="00692710">
            <w:pPr>
              <w:jc w:val="center"/>
              <w:rPr>
                <w:b/>
                <w:sz w:val="20"/>
                <w:szCs w:val="20"/>
              </w:rPr>
            </w:pPr>
            <w:r w:rsidRPr="001774BD">
              <w:rPr>
                <w:b/>
                <w:sz w:val="20"/>
                <w:szCs w:val="20"/>
              </w:rPr>
              <w:t>2017/18</w:t>
            </w:r>
          </w:p>
        </w:tc>
      </w:tr>
      <w:tr w:rsidR="00084304" w:rsidRPr="004D588F" w:rsidTr="00084304">
        <w:tc>
          <w:tcPr>
            <w:tcW w:w="3256" w:type="dxa"/>
            <w:tcBorders>
              <w:top w:val="nil"/>
            </w:tcBorders>
          </w:tcPr>
          <w:p w:rsidR="00084304" w:rsidRPr="004D588F" w:rsidRDefault="00084304" w:rsidP="001C15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84304" w:rsidRPr="001774BD" w:rsidRDefault="00084304" w:rsidP="00692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</w:tcBorders>
          </w:tcPr>
          <w:p w:rsidR="00084304" w:rsidRPr="001774BD" w:rsidRDefault="00084304" w:rsidP="00692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</w:tcBorders>
          </w:tcPr>
          <w:p w:rsidR="00084304" w:rsidRPr="001774BD" w:rsidRDefault="00084304" w:rsidP="00692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Pr="004D588F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0.892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0.915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0.958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-0.102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-0.231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-5.231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0.790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0.684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-4.273</w:t>
            </w:r>
          </w:p>
        </w:tc>
      </w:tr>
      <w:tr w:rsidR="00A9447C" w:rsidRPr="004D588F" w:rsidTr="001774BD">
        <w:tc>
          <w:tcPr>
            <w:tcW w:w="3256" w:type="dxa"/>
            <w:shd w:val="clear" w:color="auto" w:fill="D9D9D9" w:themeFill="background1" w:themeFillShade="D9"/>
          </w:tcPr>
          <w:p w:rsidR="00A9447C" w:rsidRPr="001774BD" w:rsidRDefault="00A9447C" w:rsidP="00A9447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9447C" w:rsidRPr="004D588F" w:rsidTr="001774BD">
        <w:tc>
          <w:tcPr>
            <w:tcW w:w="3256" w:type="dxa"/>
            <w:shd w:val="clear" w:color="auto" w:fill="auto"/>
          </w:tcPr>
          <w:p w:rsidR="00A9447C" w:rsidRPr="00EA1D7C" w:rsidRDefault="00A9447C" w:rsidP="00A9447C">
            <w:pPr>
              <w:rPr>
                <w:sz w:val="20"/>
                <w:szCs w:val="20"/>
              </w:rPr>
            </w:pPr>
            <w:r w:rsidRPr="000A4568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2126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</w:tr>
      <w:tr w:rsidR="00A9447C" w:rsidRPr="004D588F" w:rsidTr="001774BD">
        <w:tc>
          <w:tcPr>
            <w:tcW w:w="3256" w:type="dxa"/>
            <w:shd w:val="clear" w:color="auto" w:fill="auto"/>
          </w:tcPr>
          <w:p w:rsidR="00A9447C" w:rsidRPr="00EA1D7C" w:rsidRDefault="00A9447C" w:rsidP="00A9447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2126" w:type="dxa"/>
            <w:shd w:val="clear" w:color="auto" w:fill="auto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9447C" w:rsidRPr="004D588F" w:rsidTr="001774BD">
        <w:tc>
          <w:tcPr>
            <w:tcW w:w="3256" w:type="dxa"/>
            <w:shd w:val="clear" w:color="auto" w:fill="auto"/>
          </w:tcPr>
          <w:p w:rsidR="00A9447C" w:rsidRPr="00EA1D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2126" w:type="dxa"/>
            <w:shd w:val="clear" w:color="auto" w:fill="auto"/>
          </w:tcPr>
          <w:p w:rsidR="00A9447C" w:rsidRPr="001774BD" w:rsidRDefault="00A9447C" w:rsidP="00A944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-0.012</w:t>
            </w:r>
          </w:p>
        </w:tc>
        <w:tc>
          <w:tcPr>
            <w:tcW w:w="1843" w:type="dxa"/>
            <w:shd w:val="clear" w:color="auto" w:fill="auto"/>
          </w:tcPr>
          <w:p w:rsidR="00A9447C" w:rsidRPr="000A4568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-0.024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Pr="004D588F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9447C" w:rsidRPr="004D588F" w:rsidTr="00692710">
        <w:tc>
          <w:tcPr>
            <w:tcW w:w="3256" w:type="dxa"/>
          </w:tcPr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2126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9447C" w:rsidRPr="004D588F" w:rsidTr="00EA1D7C">
        <w:tc>
          <w:tcPr>
            <w:tcW w:w="3256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  <w:r w:rsidRPr="00EA1D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0.790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0.672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-4.297</w:t>
            </w:r>
          </w:p>
        </w:tc>
      </w:tr>
      <w:tr w:rsidR="00A9447C" w:rsidRPr="004D588F" w:rsidTr="008E30D2">
        <w:tc>
          <w:tcPr>
            <w:tcW w:w="3256" w:type="dxa"/>
            <w:shd w:val="clear" w:color="auto" w:fill="auto"/>
          </w:tcPr>
          <w:p w:rsidR="00A9447C" w:rsidRDefault="00A9447C" w:rsidP="00A944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9447C" w:rsidRPr="007B2C06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47C" w:rsidRPr="007B2C06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447C" w:rsidRPr="007B2C06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</w:tr>
      <w:tr w:rsidR="00A9447C" w:rsidRPr="004D588F" w:rsidTr="008E30D2">
        <w:tc>
          <w:tcPr>
            <w:tcW w:w="3256" w:type="dxa"/>
            <w:shd w:val="clear" w:color="auto" w:fill="BFBFBF" w:themeFill="background1" w:themeFillShade="BF"/>
          </w:tcPr>
          <w:p w:rsidR="00A9447C" w:rsidRDefault="00A9447C" w:rsidP="00A9447C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0.790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0.672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9447C" w:rsidRPr="00EA1D7C" w:rsidRDefault="00A9447C" w:rsidP="00A9447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-4.297</w:t>
            </w:r>
          </w:p>
        </w:tc>
      </w:tr>
      <w:tr w:rsidR="00A9447C" w:rsidRPr="004D588F" w:rsidTr="00C844FA">
        <w:tc>
          <w:tcPr>
            <w:tcW w:w="3256" w:type="dxa"/>
            <w:shd w:val="clear" w:color="auto" w:fill="auto"/>
          </w:tcPr>
          <w:p w:rsidR="00A9447C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A9447C" w:rsidRPr="004D588F" w:rsidRDefault="00A9447C" w:rsidP="00A94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2126" w:type="dxa"/>
            <w:shd w:val="clear" w:color="auto" w:fill="auto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9447C" w:rsidRPr="004D588F" w:rsidRDefault="00A9447C" w:rsidP="00A9447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2.000</w:t>
            </w:r>
          </w:p>
        </w:tc>
      </w:tr>
      <w:tr w:rsidR="004E121B" w:rsidRPr="004D588F" w:rsidTr="001C156F">
        <w:tc>
          <w:tcPr>
            <w:tcW w:w="3256" w:type="dxa"/>
          </w:tcPr>
          <w:p w:rsidR="00C844FA" w:rsidRDefault="00A33171" w:rsidP="008252EB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Policy Decisions needed to deliver the </w:t>
            </w:r>
            <w:r w:rsidR="0066742C">
              <w:rPr>
                <w:sz w:val="20"/>
                <w:szCs w:val="20"/>
              </w:rPr>
              <w:t>budgeted savings</w:t>
            </w:r>
          </w:p>
          <w:p w:rsidR="008252EB" w:rsidRPr="004D588F" w:rsidRDefault="008252EB" w:rsidP="008252E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CC1895" w:rsidRDefault="00CC1895" w:rsidP="00381AA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significant risk of not delivering the full value of the budget reductions related to property</w:t>
            </w:r>
            <w:r w:rsidR="00B37A20">
              <w:rPr>
                <w:sz w:val="20"/>
                <w:szCs w:val="20"/>
              </w:rPr>
              <w:t xml:space="preserve"> within the time scales originally envisaged</w:t>
            </w:r>
            <w:r>
              <w:rPr>
                <w:sz w:val="20"/>
                <w:szCs w:val="20"/>
              </w:rPr>
              <w:t>.  The implementation of the council's property strategy will inevitably be phased and the reductions will be achieved over a longer time period.</w:t>
            </w:r>
          </w:p>
          <w:p w:rsidR="00CC1895" w:rsidRDefault="00381AA3" w:rsidP="00381AA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CC1895">
              <w:rPr>
                <w:sz w:val="20"/>
                <w:szCs w:val="20"/>
              </w:rPr>
              <w:t>make £2m provisions within the council's reserves against the programme slippage in 2017/18.</w:t>
            </w:r>
          </w:p>
          <w:p w:rsidR="004E121B" w:rsidRPr="00381AA3" w:rsidRDefault="004E121B" w:rsidP="00CC18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252EB" w:rsidRPr="004D588F" w:rsidTr="001C156F">
        <w:tc>
          <w:tcPr>
            <w:tcW w:w="3256" w:type="dxa"/>
          </w:tcPr>
          <w:p w:rsidR="008252EB" w:rsidRPr="004D588F" w:rsidRDefault="008252EB" w:rsidP="001C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8039DA" w:rsidRPr="0035559D" w:rsidRDefault="0035559D" w:rsidP="003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E121B" w:rsidRPr="004D588F" w:rsidTr="003C55E4">
        <w:trPr>
          <w:trHeight w:val="958"/>
        </w:trPr>
        <w:tc>
          <w:tcPr>
            <w:tcW w:w="3256" w:type="dxa"/>
          </w:tcPr>
          <w:p w:rsidR="004E121B" w:rsidRDefault="00A33171" w:rsidP="008252EB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>Actions needed to deliver the savings</w:t>
            </w:r>
          </w:p>
          <w:p w:rsidR="008252EB" w:rsidRDefault="008252EB" w:rsidP="008252EB">
            <w:pPr>
              <w:rPr>
                <w:sz w:val="20"/>
                <w:szCs w:val="20"/>
              </w:rPr>
            </w:pPr>
          </w:p>
          <w:p w:rsidR="008252EB" w:rsidRPr="004D588F" w:rsidRDefault="008252EB" w:rsidP="008252E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4E121B" w:rsidRPr="00CC1895" w:rsidRDefault="0035559D" w:rsidP="00CC189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7220">
              <w:rPr>
                <w:sz w:val="20"/>
                <w:szCs w:val="20"/>
              </w:rPr>
              <w:t xml:space="preserve">To </w:t>
            </w:r>
            <w:r w:rsidR="00CC1895">
              <w:rPr>
                <w:sz w:val="20"/>
                <w:szCs w:val="20"/>
              </w:rPr>
              <w:t>implement the council's property strategy and bring forward closures as soon as practicable in line with service reconfiguration.</w:t>
            </w:r>
          </w:p>
        </w:tc>
      </w:tr>
      <w:tr w:rsidR="008039DA" w:rsidRPr="004D588F" w:rsidTr="001C156F">
        <w:tc>
          <w:tcPr>
            <w:tcW w:w="3256" w:type="dxa"/>
          </w:tcPr>
          <w:p w:rsidR="008039DA" w:rsidRPr="004D588F" w:rsidRDefault="008039DA" w:rsidP="0082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8039DA" w:rsidRDefault="00A14162" w:rsidP="0035559D">
            <w:pPr>
              <w:rPr>
                <w:sz w:val="20"/>
                <w:szCs w:val="20"/>
              </w:rPr>
            </w:pPr>
            <w:hyperlink r:id="rId6" w:history="1">
              <w:r w:rsidRPr="00A14162">
                <w:rPr>
                  <w:rStyle w:val="Hyperlink"/>
                  <w:sz w:val="20"/>
                  <w:szCs w:val="20"/>
                </w:rPr>
                <w:t>Click here to view docum</w:t>
              </w:r>
              <w:bookmarkStart w:id="0" w:name="_GoBack"/>
              <w:bookmarkEnd w:id="0"/>
              <w:r w:rsidRPr="00A14162">
                <w:rPr>
                  <w:rStyle w:val="Hyperlink"/>
                  <w:sz w:val="20"/>
                  <w:szCs w:val="20"/>
                </w:rPr>
                <w:t>e</w:t>
              </w:r>
              <w:r w:rsidRPr="00A14162">
                <w:rPr>
                  <w:rStyle w:val="Hyperlink"/>
                  <w:sz w:val="20"/>
                  <w:szCs w:val="20"/>
                </w:rPr>
                <w:t>nt</w:t>
              </w:r>
            </w:hyperlink>
          </w:p>
          <w:p w:rsidR="002268DD" w:rsidRPr="0035559D" w:rsidRDefault="002268DD" w:rsidP="0035559D">
            <w:pPr>
              <w:rPr>
                <w:sz w:val="20"/>
                <w:szCs w:val="20"/>
              </w:rPr>
            </w:pPr>
          </w:p>
        </w:tc>
      </w:tr>
    </w:tbl>
    <w:p w:rsidR="00767220" w:rsidRDefault="00767220" w:rsidP="00A14162"/>
    <w:sectPr w:rsidR="00767220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DB2"/>
    <w:multiLevelType w:val="hybridMultilevel"/>
    <w:tmpl w:val="14880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21D68B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4E2063"/>
    <w:multiLevelType w:val="hybridMultilevel"/>
    <w:tmpl w:val="79E6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85297"/>
    <w:multiLevelType w:val="hybridMultilevel"/>
    <w:tmpl w:val="E4D6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A4AAB"/>
    <w:rsid w:val="000D48EA"/>
    <w:rsid w:val="000E21C6"/>
    <w:rsid w:val="00144CA6"/>
    <w:rsid w:val="001774BD"/>
    <w:rsid w:val="00193402"/>
    <w:rsid w:val="001B6643"/>
    <w:rsid w:val="001C156F"/>
    <w:rsid w:val="001D4D7D"/>
    <w:rsid w:val="001E172B"/>
    <w:rsid w:val="0022676C"/>
    <w:rsid w:val="002268DD"/>
    <w:rsid w:val="002366CB"/>
    <w:rsid w:val="00241D35"/>
    <w:rsid w:val="00265B3C"/>
    <w:rsid w:val="00280EFB"/>
    <w:rsid w:val="0029025D"/>
    <w:rsid w:val="002A3E9F"/>
    <w:rsid w:val="002B630A"/>
    <w:rsid w:val="003259BA"/>
    <w:rsid w:val="00334274"/>
    <w:rsid w:val="0035559D"/>
    <w:rsid w:val="00381AA3"/>
    <w:rsid w:val="003869AC"/>
    <w:rsid w:val="00394074"/>
    <w:rsid w:val="00395862"/>
    <w:rsid w:val="003A5E84"/>
    <w:rsid w:val="003B6743"/>
    <w:rsid w:val="003C55E4"/>
    <w:rsid w:val="00411DA3"/>
    <w:rsid w:val="00443967"/>
    <w:rsid w:val="00452C66"/>
    <w:rsid w:val="00464F42"/>
    <w:rsid w:val="00487F0F"/>
    <w:rsid w:val="004D588F"/>
    <w:rsid w:val="004E121B"/>
    <w:rsid w:val="004E37EA"/>
    <w:rsid w:val="00531B66"/>
    <w:rsid w:val="005728B3"/>
    <w:rsid w:val="005957E5"/>
    <w:rsid w:val="005B386D"/>
    <w:rsid w:val="005C3A55"/>
    <w:rsid w:val="00604C13"/>
    <w:rsid w:val="0064206B"/>
    <w:rsid w:val="0064633C"/>
    <w:rsid w:val="0065624A"/>
    <w:rsid w:val="0066742C"/>
    <w:rsid w:val="00692710"/>
    <w:rsid w:val="0069592C"/>
    <w:rsid w:val="006B08A0"/>
    <w:rsid w:val="006B2CE0"/>
    <w:rsid w:val="006F35E8"/>
    <w:rsid w:val="006F58CE"/>
    <w:rsid w:val="00711875"/>
    <w:rsid w:val="00716A4F"/>
    <w:rsid w:val="007467AF"/>
    <w:rsid w:val="00767220"/>
    <w:rsid w:val="007D00B0"/>
    <w:rsid w:val="007D2F78"/>
    <w:rsid w:val="007D6CED"/>
    <w:rsid w:val="008039DA"/>
    <w:rsid w:val="008252EB"/>
    <w:rsid w:val="00846A4F"/>
    <w:rsid w:val="008845F1"/>
    <w:rsid w:val="00884C81"/>
    <w:rsid w:val="008D1171"/>
    <w:rsid w:val="008E30D2"/>
    <w:rsid w:val="00911B5E"/>
    <w:rsid w:val="009304C0"/>
    <w:rsid w:val="009C4647"/>
    <w:rsid w:val="009E0E1B"/>
    <w:rsid w:val="009E2D95"/>
    <w:rsid w:val="00A14162"/>
    <w:rsid w:val="00A33171"/>
    <w:rsid w:val="00A61F59"/>
    <w:rsid w:val="00A767B5"/>
    <w:rsid w:val="00A91829"/>
    <w:rsid w:val="00A9447C"/>
    <w:rsid w:val="00AE14AD"/>
    <w:rsid w:val="00AE7339"/>
    <w:rsid w:val="00B25405"/>
    <w:rsid w:val="00B26FCE"/>
    <w:rsid w:val="00B325D0"/>
    <w:rsid w:val="00B37A20"/>
    <w:rsid w:val="00B71B6E"/>
    <w:rsid w:val="00B819B1"/>
    <w:rsid w:val="00BD347B"/>
    <w:rsid w:val="00BE1BC0"/>
    <w:rsid w:val="00BE44C4"/>
    <w:rsid w:val="00C116C8"/>
    <w:rsid w:val="00C3384B"/>
    <w:rsid w:val="00C50F5C"/>
    <w:rsid w:val="00C67F55"/>
    <w:rsid w:val="00C76C67"/>
    <w:rsid w:val="00C844FA"/>
    <w:rsid w:val="00CA10C4"/>
    <w:rsid w:val="00CA2B52"/>
    <w:rsid w:val="00CB7956"/>
    <w:rsid w:val="00CC1895"/>
    <w:rsid w:val="00CE0DE0"/>
    <w:rsid w:val="00D64925"/>
    <w:rsid w:val="00D86D20"/>
    <w:rsid w:val="00D91624"/>
    <w:rsid w:val="00DD0C8E"/>
    <w:rsid w:val="00E11356"/>
    <w:rsid w:val="00E17B81"/>
    <w:rsid w:val="00E32D62"/>
    <w:rsid w:val="00E56AA9"/>
    <w:rsid w:val="00EA1D7C"/>
    <w:rsid w:val="00F15B60"/>
    <w:rsid w:val="00F26FCF"/>
    <w:rsid w:val="00F56420"/>
    <w:rsid w:val="00F679F6"/>
    <w:rsid w:val="00F67BFD"/>
    <w:rsid w:val="00F9314E"/>
    <w:rsid w:val="00FA581D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1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42&amp;ID=1442&amp;RPID=7643852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C4EB-6E60-4D2A-AABD-4E09457C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13</cp:revision>
  <cp:lastPrinted>2015-09-22T10:58:00Z</cp:lastPrinted>
  <dcterms:created xsi:type="dcterms:W3CDTF">2015-11-06T12:56:00Z</dcterms:created>
  <dcterms:modified xsi:type="dcterms:W3CDTF">2015-11-16T15:02:00Z</dcterms:modified>
</cp:coreProperties>
</file>